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180</w:t>
      </w:r>
    </w:p>
    <w:p>
      <w:r>
        <w:t>Bundesgericht (BGE), 1982-12-09, DE</w:t>
      </w:r>
    </w:p>
    <w:p>
      <w:r>
        <w:rPr>
          <w:b/>
        </w:rPr>
        <w:t xml:space="preserve">Quelle: </w:t>
      </w:r>
      <w:r>
        <w:t>https://mcp.opencaselaw.ch/entscheid/bge_108 V 180</w:t>
      </w:r>
    </w:p>
    <w:p>
      <w:r>
        <w:t>FR: ATF 108 V 180</w:t>
      </w:r>
    </w:p>
    <w:p>
      <w:r>
        <w:t>IT: DTF 108 V 180</w:t>
      </w:r>
    </w:p>
    <w:p>
      <w:pPr>
        <w:pStyle w:val="Heading2"/>
      </w:pPr>
      <w:r>
        <w:t>Regeste</w:t>
      </w:r>
    </w:p>
    <w:p>
      <w:r>
        <w:t>Regeste Art. 39 AHVV. Da der paritätische Sozialversicherungsbeitrag aus zwei voneinander zu unterscheidenden, im Prinzip selbständigen Teilen - dem Arbeitgeberbeitrag einerseits und dem Arbeitnehmerbeitrag andererseits - besteht, sind die Voraussetzungen des Vertrauensschutzes für jeden dieser beiden Teile gesondert zu prüfen (Präzisierung der Rechtsprechung: vgl. BGE 106 V 139).</w:t>
      </w:r>
    </w:p>
    <w:p>
      <w:pPr>
        <w:pStyle w:val="Heading2"/>
      </w:pPr>
      <w:r>
        <w:t>Erwägungen</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107 V 160 f., BGE 106 V 143 mit Hinweisen). In BGE 106 V 143 Erw. 3 hat das Eidg. Versicherungsgericht bestätigt, dass dieser Vertrauensschutz auch auf dem Gebiete der Nachforderung von Beiträgen gelte. In diesem Urteil änderte es aber die bis anhin geübte Praxis ab, indem es die Einschränkung fallen liess, es müssten zusätzlich noch ganz besondere Umstände vorliegen, und entschied, dass der Vertrauensgrundsatz nach Massgabe der fünf Voraussetzungen im Bereich der Art. 39 und 40 AHVV uneingeschränkt Anwendung finde, und zwar auch bei paritätischen Sozialversicherungsbeiträgen. 4. a) Die Vorinstanz vertritt die Auffassung, der Beschwerdegegner schulde die paritätischen Beiträge für die fragliche Zeit nicht. Sie beruft sich dafür auf die Praxisänderung des Eidg. Versicherungsgerichts im eben zitierten BGE 106 V 139 und zieht daraus den Schluss, dass der Vertrauensschutz im Gebiete der Nachforderung uneingeschränkt für den vollen Betrag der geschuldeten paritätischen Beiträge gelte, wenn die fünf Voraussetzungen gegeben seien. Es sei daher rechtlich unbeachtlich, ob zum Beispiel bei einer Offertstellung neben dem Arbeitnehmerbeitrag auch der Arbeitgeberbeitrag mitkalkuliert worden sei oder nicht. b) Wie jedoch die Beschwerdeführerin zutreffend ausführt, besteht der paritätische Sozialversicherungsbeitrag gemäss Gesetz aus zwei voneinander zu unterscheidenden, im Prinzip selbständigen Teilen. Dabei handelt es sich einerseits um den Arbeitgeberbeitrag BGE 108 V 180 S. 183 und andererseits um den Arbeitnehmerbeitrag. Demzufolge ist auch für jeden dieser beiden Teile gesondert zu prüfen, ob die Voraussetzungen des Vertrauensschutzes erstellt sind. c) Es ist unbestritten und darf aufgrund der Akten ohne weiteres als gegeben angenommen werden, dass die hievor erwähnten fünf Voraussetzungen bezüglich der Arbeitnehmerbeiträge, welche der Beschwerdegegner nicht mehr eintreiben kann, erfüllt sind. Hinsichtlich der Arbeitgeberbeiträge fehlt es jedoch an der vierten Voraussetzung; dies übrigens im Gegensatz zu dem in BGE 106 V 139 entschiedenen Fall, bei welchem der ganze paritätische Beitrag für die vorgängige Kalkulation und Offertstellung von Bedeutung war. Vorliegendenfalls wird nämlich weder behauptet noch ist auch nur annähernd ersichtlich, was der Beschwerdegegner für nachteilige, nicht wieder rückgängig zu machende Dispositionen bezüglich der vermeintlich nicht geschuldeten Arbeitgeberbeiträge getroffen haben könnte. Vielmehr kann er, wie das Bundesamt für Sozialversicherung zutreffend erwähnt, aus der Verzögerung der Zahlung sogar einen Zinsgewinn für sich buchen. Somit ist der Beschwerdegegner gemäss diesen Ausführungen verpflichtet, die Arbeitgeberbeiträge für die Zeit vom 1. Mai bis 31. Juli 1978 auf der ermittelten Lohnsumme von Fr. 4'510.-- nachzuzahlen. Dispositiv Demnach erkennt das Eidg. Versicherungsgericht: In Gutheissung der Verwaltungsgerichtsbeschwerde werden der Entscheid des Versicherungsgerichts des Kantons Bern vom 21. März 1982 und die Veranlagungsverfügung vom 28. April 1980 aufgehoben, und es wird die Sache zum Erlass einer neuen Verfügung im Sinne der Erwägungen an die Ausgleichskasse des Kantons Bern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